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261" w:type="dxa"/>
        <w:tblInd w:w="-289" w:type="dxa"/>
        <w:tblLook w:val="04A0" w:firstRow="1" w:lastRow="0" w:firstColumn="1" w:lastColumn="0" w:noHBand="0" w:noVBand="1"/>
      </w:tblPr>
      <w:tblGrid>
        <w:gridCol w:w="2180"/>
        <w:gridCol w:w="1790"/>
        <w:gridCol w:w="1417"/>
        <w:gridCol w:w="4874"/>
      </w:tblGrid>
      <w:tr w:rsidR="00131BBE" w:rsidRPr="00131BBE" w14:paraId="486CDCE5" w14:textId="77777777" w:rsidTr="00DB77D5">
        <w:tc>
          <w:tcPr>
            <w:tcW w:w="2180" w:type="dxa"/>
          </w:tcPr>
          <w:p w14:paraId="2EDBCD93" w14:textId="77777777" w:rsidR="002703D5" w:rsidRPr="00131BBE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Projekt száma</w:t>
            </w:r>
          </w:p>
        </w:tc>
        <w:tc>
          <w:tcPr>
            <w:tcW w:w="1790" w:type="dxa"/>
          </w:tcPr>
          <w:p w14:paraId="416A3BF8" w14:textId="77777777" w:rsidR="002703D5" w:rsidRPr="00131BBE" w:rsidRDefault="002703D5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Felelős vezető</w:t>
            </w:r>
          </w:p>
        </w:tc>
        <w:tc>
          <w:tcPr>
            <w:tcW w:w="1417" w:type="dxa"/>
          </w:tcPr>
          <w:p w14:paraId="238B8272" w14:textId="379F8E75" w:rsidR="002703D5" w:rsidRPr="00131BBE" w:rsidRDefault="003A6C46" w:rsidP="002703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I</w:t>
            </w:r>
            <w:r w:rsidR="002703D5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dőtartam </w:t>
            </w:r>
          </w:p>
        </w:tc>
        <w:tc>
          <w:tcPr>
            <w:tcW w:w="4874" w:type="dxa"/>
          </w:tcPr>
          <w:p w14:paraId="3A1811BA" w14:textId="5D2F1971" w:rsidR="002703D5" w:rsidRPr="00131BBE" w:rsidRDefault="003A6C46" w:rsidP="003E19A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C</w:t>
            </w:r>
            <w:r w:rsidR="002703D5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élok</w:t>
            </w:r>
          </w:p>
        </w:tc>
      </w:tr>
      <w:tr w:rsidR="00131BBE" w:rsidRPr="00131BBE" w14:paraId="00645BBA" w14:textId="77777777" w:rsidTr="00DB77D5">
        <w:tc>
          <w:tcPr>
            <w:tcW w:w="2180" w:type="dxa"/>
          </w:tcPr>
          <w:p w14:paraId="12B4C411" w14:textId="2B433E03" w:rsid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2020-1-HU01-KA203-078844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</w:p>
          <w:p w14:paraId="15BF676B" w14:textId="0D6C559D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DFM 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–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Tükrözött osztályterem</w:t>
            </w:r>
            <w:r w:rsidR="00DB77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módszerek fejlesztése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az oktatásban</w:t>
            </w:r>
            <w:r w:rsidRPr="005D2B1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ERASMUS+HU</w:t>
            </w:r>
          </w:p>
          <w:p w14:paraId="4B4476D7" w14:textId="1C8FF651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9E93D98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C750EE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A0B9EFC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655B860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5744C30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D1DA925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6E3E608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A111450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66A3086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48090ED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AD1F8E2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0285D33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5B2B6D9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9812CF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5AB7CE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88D8B02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C77128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AAB5E42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2F22559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799E17B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01C094F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12B8F7B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9FDCE83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63A9B99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F89F36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EDED96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9D1EAF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631197C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4371E65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CA4DE26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9D38D7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3300D42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40E90B6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F51425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C1D3B21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F36C07C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C405C6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8E8048F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47B6CC8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D2A680C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C3D8840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3AD52F7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A59D5F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CF75D9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4FDFD8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A4481C5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43CC37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41FD07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F4ED8E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3307779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0018881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A95631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4ABE5FC" w14:textId="1A2C0211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D13E64E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2389DF3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82C37ED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16166AD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6225F2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3BBEEE5" w14:textId="58FA8456" w:rsidR="005D2B17" w:rsidRP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90" w:type="dxa"/>
          </w:tcPr>
          <w:p w14:paraId="5BC869F5" w14:textId="59C05B06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Mgr. Tóth-Bakos Anita, PhD.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</w:p>
        </w:tc>
        <w:tc>
          <w:tcPr>
            <w:tcW w:w="1417" w:type="dxa"/>
          </w:tcPr>
          <w:p w14:paraId="190D1D21" w14:textId="77777777" w:rsidR="00DB77D5" w:rsidRDefault="00DB77D5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9/</w:t>
            </w:r>
            <w:r w:rsidR="00131BBE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2020</w:t>
            </w:r>
          </w:p>
          <w:p w14:paraId="3295C0A2" w14:textId="4D2269D2" w:rsidR="00131BBE" w:rsidRPr="00131BBE" w:rsidRDefault="00DB77D5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8/</w:t>
            </w:r>
            <w:r w:rsidR="00131BBE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2022</w:t>
            </w:r>
            <w:r w:rsidR="00131BBE"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</w:p>
        </w:tc>
        <w:tc>
          <w:tcPr>
            <w:tcW w:w="4874" w:type="dxa"/>
          </w:tcPr>
          <w:p w14:paraId="7259471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A7A2D45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7515FC0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480B7B0" w14:textId="65A94180" w:rsidR="00131BBE" w:rsidRPr="007412A3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A projekt célja kisegítő pedagógiai, módszertani és didaktikai anyagok (tanórán kívüli feladatok, előzetes értékelési eszközök, tantermi foglalkozások) létrehozása és fejlesztése a pszichológia középiskolai oktatásához és a leendő tanárok egyetemi tanulmányaihoz. A projekt fő 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szellemi terméke a teljes pszichológia tantárgy 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tükrözött osztályterem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módszerekkel történő oktatásához szükséges pedagógiai anyagok (30 kurzus anyaga), hét nyelven elérhető. A projekt további célja a tanítási technikák, „fordított módszerek" oktatási gyakorlatban való megvalósításának feltérképezése, az alkalmazási nehézségek leküzdése. A projekt egyik partnere, a Mihai Eminescu Nemzeti Pedagógiai Líceum (Románia), egy középfokú oktatási intézmény. A román oktatási rendszer sajátosságaiból adódóan olyan oktatási programot kínálnak, amelyben a végzettek óvodai pedagógus-tanító címet kapnak. Romániában a pszichológia a középiskolai tananyag része, így a középiskolák is profitálhatnak a román nyelvre fordított tananyagokból. A projektben fő feladatuk a felsőoktatási intézmények partnerségből kidolgozott oktatási módszereinek átvétele, tesztelése és a romániai követelményekhez való adaptálása. A partnerség hat másik egyetemből áll, amelyek tanárképző karokkal rendelkeznek. Ezek az intézmények fontos partneri vagy projektvezetői tapasztalatokkal rendelkeznek az oktatási stratégiai partnerség és az innováció terén. A projekt fő szellemi terméke hét nyelven elérhető pedagógiai anyag a teljes pszichológia kurzus „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tükrözött osztályterem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” módszerekkel történő oktatásához (anyag 30 kurzushoz). Minden pedagógiai anyag oktatóvideóból, tanórán kívüli munkatervekből (online tevékenységek), fejlesztő feladatokból és tevékenységekből, valamint értékelő eszközökből áll. Kérdőívet is kidolgoznak a 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tükrözött osztályterem 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módszerek társadalomtudomány oktatásban való használatára vonatkozó adatok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gyűjtésére. A felmérés eredményeiből kiderül, hogy a hat partnerország tanárai és oktatói milyen módszereket és erőforrásokat használnak. Az eredmények forrásként használhatók fel pedagógiai anyagok fejlesztéséhez. Ezen túlmenően, az eredmények közzététele inspirációt ad a tanároknak és a 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politikai döntéshozóknak a 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tükrözött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módszerek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 xml:space="preserve">tanítási gyakorlatba való bevezetéséhez. Az egyetemi és középiskolai tanárok rendelkezésére áll minden szükséges anyag a pszichológia tantárgy </w:t>
            </w:r>
            <w:r w:rsidR="00F3113C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tükrözött osztályterem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oktatási módszertannal történő oktatásához. A projekt eredményei várhatóan elősegítik az FC gyakorlatok alkalmazását a pszichológia tanításában. A tanulmányok azt sugallják, hogy a hagyományos módszerek </w:t>
            </w:r>
            <w:r w:rsidR="00E729E8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tükrözött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 osztályteremre váltása javítja a tanulók teljesítményét és elégedettségét. A </w:t>
            </w:r>
            <w:r w:rsidR="00E729E8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tükrözött osztálytermi </w:t>
            </w: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módszerek növelik a tanulók motivációját, önbizalmát és a tanulás iránti elkötelezettségét. A tudományos bizonyítékokat figyelembe véve projektünk általánosságban hozzájárul az oktatás minőségének javításához, valamint a tanárok és diákok digitális írástudásának és kompetenciáinak javításához. </w:t>
            </w:r>
          </w:p>
          <w:p w14:paraId="589FD346" w14:textId="2BB93EDA" w:rsidR="00131BBE" w:rsidRPr="007412A3" w:rsidRDefault="00E729E8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(A projekt 2023. június végével </w:t>
            </w:r>
            <w:r w:rsidR="00131BBE" w:rsidRPr="007412A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sikeresen lezárult) </w:t>
            </w:r>
          </w:p>
          <w:p w14:paraId="360BDE85" w14:textId="184A3F45" w:rsidR="00527224" w:rsidRPr="00131BBE" w:rsidRDefault="00527224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131BBE" w:rsidRPr="00131BBE" w14:paraId="5AC30051" w14:textId="77777777" w:rsidTr="00DB77D5">
        <w:tc>
          <w:tcPr>
            <w:tcW w:w="2180" w:type="dxa"/>
          </w:tcPr>
          <w:p w14:paraId="5E522B60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NFP312010Z205</w:t>
            </w:r>
          </w:p>
          <w:p w14:paraId="3310E0A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5064F5F" w14:textId="439E82E8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Tanuljunk meg jobban tanítani</w:t>
            </w:r>
          </w:p>
          <w:p w14:paraId="1F2F9069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A9A5A65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7E679A2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B2CCA4D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139F4E3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B560068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F68103B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558FC66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79FF86C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E091C98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9A745E9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272A9B7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D4BF60F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43A4B2C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26314A1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55B57E3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D479409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97CBEC9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AD08D0F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DA4BC09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4A43EB2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05F53EB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B12A909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5F5CCDC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FB6574D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BCF4963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3FF49D8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847620A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436DF52" w14:textId="28223398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2899069" w14:textId="402D8E3F" w:rsidR="00131BBE" w:rsidRPr="00131BBE" w:rsidRDefault="00131BBE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90" w:type="dxa"/>
          </w:tcPr>
          <w:p w14:paraId="22761424" w14:textId="4D3A8183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Horváth Kinga dr. habil. PaedDr. PhD.</w:t>
            </w:r>
          </w:p>
        </w:tc>
        <w:tc>
          <w:tcPr>
            <w:tcW w:w="1417" w:type="dxa"/>
          </w:tcPr>
          <w:p w14:paraId="26EF76A1" w14:textId="36DC7EF7" w:rsidR="00131BBE" w:rsidRPr="00131BBE" w:rsidRDefault="007412A3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2/2020 - 7/2023</w:t>
            </w:r>
          </w:p>
        </w:tc>
        <w:tc>
          <w:tcPr>
            <w:tcW w:w="4874" w:type="dxa"/>
          </w:tcPr>
          <w:p w14:paraId="531947C0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7092113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A861C61" w14:textId="0BE26353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A projekt célja a leendő tanárok és szakemberek képzésének javítása, valamint a felsőoktatás és a gyakorlati igények közötti kapcsolat javítása. E cél elérése érdekében a projekt olyan tevékenységeket valósít meg, amelyek célja a tanulók, az iskolák és az iskolai létesítmények leendő pedagógiai és szakmai állományának bővítése a képzőiskolákban, valamint a gyakorlóiskolák hálózatának bővítése. A projekt bemutatja a pedagógiai gyakorlatok iskolákban és iskolai létesítményekben való megvalósítását, amely egy másik eszköz a végzettek jobb felkészítéséhez a gyakorlatra. A projekt keretében oktatók, tanárképzők és hallgatók számára is készülnek tananyagok, amelyeket két újonnan létrehozott tanulmányi programban is felhasználnak - az egyetemi tanárok képzésére és a jelenleg hiányzó tanárképzésre. A projektben 500 nappali tagozatos diák és 80 tanárképző vesz részt, a képző iskolák hálózata 5 új iskolával bővül. A projekt közvetlen válasz a hallgatók igényeire, hogy jobban felkészítse őket a tanári munkára. A projekt válasz az iskolák igényeire, amelyek közül sok Szlovákia elmaradott régióiban található kisiskola, ahol a tanulóik jelentős része szociálisan vagy más módon hátrányos helyzetű. A fentiekre tekintettel úgy gondoljuk, hogy a projekt megvalósítása hosszú távon jelentősen hozzájárul Szlovákia legkevésbé fejlett régióiban az óvodai intézmények, valamint az általános és középiskolák oktatási színvonalának emeléséhez.</w:t>
            </w:r>
          </w:p>
          <w:p w14:paraId="4BA6D841" w14:textId="16C31C89" w:rsidR="00131BBE" w:rsidRPr="00131BBE" w:rsidRDefault="00131BBE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527224" w:rsidRPr="00131BBE" w14:paraId="3E8BB4CB" w14:textId="77777777" w:rsidTr="00DB77D5">
        <w:tc>
          <w:tcPr>
            <w:tcW w:w="2180" w:type="dxa"/>
          </w:tcPr>
          <w:p w14:paraId="4A3201AB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SK01-KA201-078250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  <w:t>K201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</w:p>
          <w:p w14:paraId="3C572213" w14:textId="09AD5AE7" w:rsid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„Mentor Training”</w:t>
            </w:r>
          </w:p>
          <w:p w14:paraId="5A850737" w14:textId="3C72A4C5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527E09A" w14:textId="35E02EEA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4749EF9" w14:textId="390399BD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A2DB50F" w14:textId="2687F2A4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8745086" w14:textId="31420171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C3E20F2" w14:textId="0682B60A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F8E541B" w14:textId="723D6BAB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958737C" w14:textId="11533956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0CB5130" w14:textId="52F67A13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4B60A5C" w14:textId="66B854FE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8A191DA" w14:textId="79654284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CB5B87D" w14:textId="22737B0A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343EA20" w14:textId="1F79B002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A620329" w14:textId="3D200BD8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173300B" w14:textId="0B06CFEB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F632D82" w14:textId="3AD5A47A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113A467" w14:textId="5996D33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6563BE6" w14:textId="77777777" w:rsidR="005D2B17" w:rsidRPr="00131BBE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F5DB7DD" w14:textId="2C75C018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90" w:type="dxa"/>
          </w:tcPr>
          <w:p w14:paraId="0963827D" w14:textId="1C49342A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Horváth Kinga dr. habil. PaedDr. PhD.</w:t>
            </w:r>
          </w:p>
        </w:tc>
        <w:tc>
          <w:tcPr>
            <w:tcW w:w="1417" w:type="dxa"/>
          </w:tcPr>
          <w:p w14:paraId="4991A9C9" w14:textId="3F62F983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2020-2023</w:t>
            </w:r>
          </w:p>
        </w:tc>
        <w:tc>
          <w:tcPr>
            <w:tcW w:w="4874" w:type="dxa"/>
          </w:tcPr>
          <w:p w14:paraId="796A8E4A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757DF066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D9E74D4" w14:textId="77777777" w:rsidR="005D2B17" w:rsidRDefault="005D2B17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B1C0196" w14:textId="7B7C60E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A projekt célja a mentor tanárok szakmai felkészültségének támogatása és e tevékenység végzéséhez megfelelő ismeretekkel és készségekkel való felvértezése, ezzel is erősítve önbizalmukat;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  <w:t>- a mentor tanárok kompetenciaszintjének növelése, fontosságuk megértése. Innovatív moduláris képzési program létrehozása mentor tanárok számára, hogy az teljes munkaidőben és önállóan is megvalósítható legyen - a moduláris tantervnek megfelelően –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  <w:t>öt nyelven (angol, szlovák, cseh, magyar, szerb). Továbbá tananyagok tervezése és készítése mentor tanárok számára: vezessenek tanítási gyakorlatot leendő tanárok és kezdő tanárok számára az iskolai munka kezdeti szakaszában, professzionális szinten, és tegyék vonzóbbá ezeket a gyakornokok számára. További célok: a leendő tanárok gyakorlati képzésének minőségének javítása; a fiatal tanárok motivációjának és hajlandóságának növelése a tanári pályán maradásra; a tanári szakma profiljának erősítése.</w:t>
            </w:r>
          </w:p>
          <w:p w14:paraId="742B5C95" w14:textId="3776B8F3" w:rsidR="00527224" w:rsidRPr="00131BBE" w:rsidRDefault="00527224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131BBE" w:rsidRPr="00131BBE" w14:paraId="2EB2B1C9" w14:textId="77777777" w:rsidTr="00DB77D5">
        <w:tc>
          <w:tcPr>
            <w:tcW w:w="2180" w:type="dxa"/>
          </w:tcPr>
          <w:p w14:paraId="08841077" w14:textId="77777777" w:rsidR="00DB77D5" w:rsidRPr="00131BBE" w:rsidRDefault="00DB77D5" w:rsidP="00DB77D5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131BBE">
              <w:rPr>
                <w:rFonts w:ascii="Times New Roman" w:hAnsi="Times New Roman" w:cs="Times New Roman"/>
                <w:sz w:val="22"/>
                <w:szCs w:val="22"/>
              </w:rPr>
              <w:t xml:space="preserve">KEGA: </w:t>
            </w:r>
          </w:p>
          <w:p w14:paraId="13630C3E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005UJS-4/2021</w:t>
            </w:r>
          </w:p>
          <w:p w14:paraId="4340C71E" w14:textId="77777777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D97233" w14:textId="731B2AC3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  <w:r w:rsidRPr="00131BBE">
              <w:rPr>
                <w:rFonts w:ascii="Times New Roman" w:hAnsi="Times New Roman" w:cs="Times New Roman"/>
                <w:sz w:val="22"/>
                <w:szCs w:val="22"/>
              </w:rPr>
              <w:t>„A DIFER diagnosztikai eszköz adaptálása és szabványosítása a 4-8 éves gyermekek jelenlegi fejlettségi szintjének felméréséhez”</w:t>
            </w:r>
          </w:p>
          <w:p w14:paraId="74446D07" w14:textId="00179EDB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5EE09" w14:textId="20F984C6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75535" w14:textId="5A3C8B59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ABEE8" w14:textId="1A3AA180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26F75" w14:textId="338AD20B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8B11B" w14:textId="359F5318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4383FB" w14:textId="052AF9DF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090A4" w14:textId="6279B8FF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BAEB2C" w14:textId="07DCDD57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40AE1" w14:textId="64C21D06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04D5E" w14:textId="0904CEFE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859076" w14:textId="5703BC75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1BA2E" w14:textId="51306335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AC2B1" w14:textId="5CEBE35B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7DF8D7" w14:textId="5BC047B1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B273E" w14:textId="476D5C7A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17DF9" w14:textId="07CAA881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F17B0" w14:textId="4C2C5E9A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62577" w14:textId="0148392D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618E3" w14:textId="2CB59662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6EB58" w14:textId="1A8F5C39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1B49A" w14:textId="700A2CC4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45D94" w14:textId="1266D2B5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E185D" w14:textId="6AE95A82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22C4F" w14:textId="26AA8893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639E1" w14:textId="5C275BB5" w:rsidR="00131BBE" w:rsidRPr="00131BBE" w:rsidRDefault="00131BBE" w:rsidP="00131BBE">
            <w:pPr>
              <w:pStyle w:val="Predformtovan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EF9E7" w14:textId="44A73CA4" w:rsidR="00131BBE" w:rsidRPr="00131BBE" w:rsidRDefault="00131BBE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1790" w:type="dxa"/>
          </w:tcPr>
          <w:p w14:paraId="21C5D18F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prof. Dr. Krisztián Józsa, PhD.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br/>
            </w:r>
          </w:p>
        </w:tc>
        <w:tc>
          <w:tcPr>
            <w:tcW w:w="1417" w:type="dxa"/>
          </w:tcPr>
          <w:p w14:paraId="3D052F18" w14:textId="77777777" w:rsidR="00131BBE" w:rsidRPr="00131BBE" w:rsidRDefault="00131BBE" w:rsidP="00131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2021 -2023</w:t>
            </w:r>
          </w:p>
        </w:tc>
        <w:tc>
          <w:tcPr>
            <w:tcW w:w="4874" w:type="dxa"/>
          </w:tcPr>
          <w:p w14:paraId="1CB50230" w14:textId="77777777" w:rsidR="00131BBE" w:rsidRPr="00131BBE" w:rsidRDefault="00131BBE" w:rsidP="00131BB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3C57B8C" w14:textId="77777777" w:rsidR="00131BBE" w:rsidRPr="00131BBE" w:rsidRDefault="00131BBE" w:rsidP="00131BB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0FE37CF0" w14:textId="77777777" w:rsidR="00131BBE" w:rsidRPr="00131BBE" w:rsidRDefault="00131BBE" w:rsidP="00131BB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1C352364" w14:textId="6215A300" w:rsidR="00131BBE" w:rsidRPr="00131BBE" w:rsidRDefault="00131BBE" w:rsidP="00131BBE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A projekt célja az óvodások és általános iskolások diagnosztikus stratégiáinak körének bővítése a DIFER kutatási eszköz adaptálásával és egyben szabványosításával, 4-8 éves gyerekek/tanulók számára. Magyarországon, a gyakorlatban már több éve alkalmazzák, kutatási nyomon követéssel és hatékonyságának megerősítésével. Ezt az adaptációt kifejezetten az óvodákra és a szlovákiai magyar tannyelvű általános iskolák I. szintjére tervezték. Az általunk kínált diagnosztikai eszközt a jövőben az említett célcsoportok pedagógusai használhatják az oktatási folyamat során. Ez a szabványosított, a gyermek személyiségfejlődésének felmérésére szolgáló eszköz a tanköteles gyermekek egyéni nevelésének ellenőrzése (monitoring) során is használható. A projekt másik célja a Szlovák Köztársaságban elért kutatási eredmények összehasonlítása a magyarországi eredményekkel. Az összehasonlító kutatási módszer lehetővé teszi, hogy azonosítsuk az egyes diagnosztizált területeken a lehetséges különbségeket, és megtegyük a szükséges változtatásokat ennek az eszköznek a </w:t>
            </w: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szabványosításában és adaptálásában a szlovákiai magyar tannyelvű óvodákba és általános iskolákba járó gyermekek és tanulók számára. Ezzel egyidejűleg a pedagógusjelöltek, óvoda-pedagógusok és általános iskolai tanárok számára oktatási programokat kínálunk, melyekben lehetőségük lesz felkészülni a DIFER kutatási eszköz professzionális használatára, megtervezni és megvalósítani egy oktatási folyamatot, amelynek alapja az elért eredmények, figyelembe véve a gyermekek/tanulók jelenlegi fejlettségi szintjét, összhangban a jelenlegi állami óvodai és alapfokú oktatás teljesítménynormáival. A tudományos kutatási eredményeket hazai és külföldi tudományos folyóiratokban tervezzük publikálni. A kutatás megvalósításának, menetének és eredményeinek átfogó áttekintését könyvkiadványban tervezzük összefoglalni.</w:t>
            </w:r>
          </w:p>
          <w:p w14:paraId="0AEC84E3" w14:textId="55357DFF" w:rsidR="00527224" w:rsidRPr="00131BBE" w:rsidRDefault="00527224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</w:tr>
      <w:tr w:rsidR="00527224" w:rsidRPr="00131BBE" w14:paraId="6A82C9D7" w14:textId="77777777" w:rsidTr="00DB77D5">
        <w:tc>
          <w:tcPr>
            <w:tcW w:w="2180" w:type="dxa"/>
          </w:tcPr>
          <w:p w14:paraId="7F1990A2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630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lastRenderedPageBreak/>
              <w:t>Tempus 2022-1-HU01-KA220-</w:t>
            </w:r>
          </w:p>
          <w:p w14:paraId="12CE8D2B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630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YOU-000089532</w:t>
            </w:r>
          </w:p>
          <w:p w14:paraId="3A8CEDA7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0A56E8" w14:textId="430539F3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306B5">
              <w:rPr>
                <w:rFonts w:ascii="Times New Roman" w:hAnsi="Times New Roman" w:cs="Times New Roman"/>
                <w:sz w:val="22"/>
                <w:szCs w:val="22"/>
              </w:rPr>
              <w:t>A középiskolás diákok demokratikus és közéleti részvételének erősítésére</w:t>
            </w:r>
          </w:p>
          <w:p w14:paraId="3CB4C32B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02DFF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1869F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66CAF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B45735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259BB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C2DC3" w14:textId="77777777" w:rsidR="00527224" w:rsidRPr="006306B5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5159E" w14:textId="0706954E" w:rsidR="00527224" w:rsidRPr="006306B5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</w:p>
        </w:tc>
        <w:tc>
          <w:tcPr>
            <w:tcW w:w="1790" w:type="dxa"/>
          </w:tcPr>
          <w:p w14:paraId="066B03AD" w14:textId="1AE62F10" w:rsidR="00527224" w:rsidRPr="00131BBE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Horváth Kinga dr. habil. PaedDr. PhD.</w:t>
            </w:r>
          </w:p>
        </w:tc>
        <w:tc>
          <w:tcPr>
            <w:tcW w:w="1417" w:type="dxa"/>
          </w:tcPr>
          <w:p w14:paraId="5278BCF1" w14:textId="798B2801" w:rsidR="00527224" w:rsidRPr="00131BBE" w:rsidRDefault="00527224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  <w:r w:rsidRPr="00527224">
              <w:rPr>
                <w:rFonts w:ascii="Times New Roman" w:hAnsi="Times New Roman" w:cs="Times New Roman"/>
                <w:sz w:val="22"/>
                <w:szCs w:val="22"/>
              </w:rPr>
              <w:t>11/2022 – 12/2024</w:t>
            </w:r>
          </w:p>
        </w:tc>
        <w:tc>
          <w:tcPr>
            <w:tcW w:w="4874" w:type="dxa"/>
          </w:tcPr>
          <w:p w14:paraId="6DBC0228" w14:textId="77777777" w:rsidR="00527224" w:rsidRDefault="00527224" w:rsidP="00527224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32460ACF" w14:textId="77777777" w:rsidR="00527224" w:rsidRDefault="00527224" w:rsidP="00527224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21754E70" w14:textId="77777777" w:rsidR="00527224" w:rsidRDefault="00527224" w:rsidP="00527224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676E4097" w14:textId="77777777" w:rsidR="00527224" w:rsidRDefault="00527224" w:rsidP="00527224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4CE8EDDE" w14:textId="2C4ED5D6" w:rsidR="00527224" w:rsidRPr="00527224" w:rsidRDefault="00527224" w:rsidP="0052722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72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A projekt célja </w:t>
            </w:r>
            <w:r w:rsidRPr="00527224">
              <w:rPr>
                <w:rFonts w:ascii="Times New Roman" w:hAnsi="Times New Roman" w:cs="Times New Roman"/>
                <w:sz w:val="22"/>
                <w:szCs w:val="22"/>
              </w:rPr>
              <w:t>a diákok közéleti és demokratikus részvételének erősítése iskolai keretek között, valamint a diákok helyi önkormányzatokkal való kapcsolatában képzelhető el. Éppen ezért, a projekt három célcsoportot szándékozik megszólítani: 1) az iskolákban működő diáktanácsokat, vagy diákönkormányzatokat, 2) a mai fiatalok közéleti szerepvállalását irányító pedagógusokat, valamint 3) az önkormányzatokban dolgozó szakembereket ifjúsági referenseket. A kidolgozandó tananyag pedig a három célcsoport leginkább indokolt problémáira szeretne nem-formális tanulási módszerekkel reagálni.</w:t>
            </w:r>
          </w:p>
          <w:p w14:paraId="7CF5531F" w14:textId="4286B672" w:rsidR="00527224" w:rsidRPr="00131BBE" w:rsidRDefault="00527224" w:rsidP="00DB77D5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hu-HU"/>
              </w:rPr>
            </w:pPr>
          </w:p>
        </w:tc>
      </w:tr>
      <w:tr w:rsidR="00DF0291" w:rsidRPr="00131BBE" w14:paraId="0D8E12D1" w14:textId="77777777" w:rsidTr="00DB77D5">
        <w:tc>
          <w:tcPr>
            <w:tcW w:w="2180" w:type="dxa"/>
          </w:tcPr>
          <w:p w14:paraId="1885B3DB" w14:textId="77777777" w:rsidR="00DF0291" w:rsidRPr="006306B5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6306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Kega </w:t>
            </w:r>
            <w:r w:rsidRPr="006306B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001UPJŠ-4/2023</w:t>
            </w:r>
          </w:p>
          <w:p w14:paraId="5C518D02" w14:textId="77777777" w:rsidR="00DF0291" w:rsidRPr="006306B5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</w:p>
          <w:p w14:paraId="1B7AF4B6" w14:textId="6D20D0B4" w:rsidR="00DF0291" w:rsidRPr="006306B5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6306B5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 formatív/fejlesztő értékelés bevezetése az alapiskolai oktatásba a digitális forma előtérbe helyezésével</w:t>
            </w:r>
          </w:p>
        </w:tc>
        <w:tc>
          <w:tcPr>
            <w:tcW w:w="1790" w:type="dxa"/>
          </w:tcPr>
          <w:p w14:paraId="47888585" w14:textId="77777777" w:rsidR="00DF0291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RNDr. Ivana Fotáková PhD.</w:t>
            </w:r>
          </w:p>
          <w:p w14:paraId="5B771269" w14:textId="77777777" w:rsidR="00DF0291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UPJŠ Košice</w:t>
            </w:r>
          </w:p>
          <w:p w14:paraId="020A30D9" w14:textId="77777777" w:rsidR="00DF0291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  <w:p w14:paraId="5C009B1E" w14:textId="10300479" w:rsidR="00DF0291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Társkutató:</w:t>
            </w:r>
          </w:p>
          <w:p w14:paraId="570A9ECA" w14:textId="1E4BC723" w:rsidR="00DF0291" w:rsidRPr="00527224" w:rsidRDefault="00DF0291" w:rsidP="00DF029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PaedDr. Borbélyová Diana, PhD.</w:t>
            </w:r>
          </w:p>
        </w:tc>
        <w:tc>
          <w:tcPr>
            <w:tcW w:w="1417" w:type="dxa"/>
          </w:tcPr>
          <w:p w14:paraId="4D7A9FD2" w14:textId="5C235025" w:rsidR="00DF0291" w:rsidRPr="00527224" w:rsidRDefault="00DF0291" w:rsidP="00DF0291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2023-2025</w:t>
            </w:r>
          </w:p>
        </w:tc>
        <w:tc>
          <w:tcPr>
            <w:tcW w:w="4874" w:type="dxa"/>
          </w:tcPr>
          <w:p w14:paraId="72BA344F" w14:textId="77777777" w:rsidR="006306B5" w:rsidRDefault="006306B5" w:rsidP="00DF029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B3F8548" w14:textId="77777777" w:rsidR="006306B5" w:rsidRDefault="006306B5" w:rsidP="00DF0291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5962209D" w14:textId="77777777" w:rsidR="006306B5" w:rsidRDefault="006306B5" w:rsidP="006306B5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4521F77" w14:textId="6AEB211C" w:rsidR="00DF0291" w:rsidRDefault="006306B5" w:rsidP="006306B5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bookmarkStart w:id="0" w:name="_GoBack"/>
            <w:bookmarkEnd w:id="0"/>
            <w:r>
              <w:rPr>
                <w:color w:val="000000"/>
                <w:shd w:val="clear" w:color="auto" w:fill="FFFFFF"/>
              </w:rPr>
              <w:t xml:space="preserve">A </w:t>
            </w:r>
            <w:r w:rsidRPr="006306B5">
              <w:rPr>
                <w:shd w:val="clear" w:color="auto" w:fill="FFFFFF"/>
              </w:rPr>
              <w:t>projekt fő célja a társadalomtudományi tantárgyak formatív/fejlesztő értékeléssel kapcsolatos eszköztárának létrehozása, a formatív értékelés eszközeivel kapcsolatos adatbázisok digitális feldolgozása/létrehozása minden olyan tantárgy esetében, amely majd a meglévő digitális 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 xml:space="preserve">önyvtár részét 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>épezi</w:t>
            </w:r>
            <w:r>
              <w:rPr>
                <w:color w:val="000000"/>
                <w:shd w:val="clear" w:color="auto" w:fill="FFFFFF"/>
              </w:rPr>
              <w:t xml:space="preserve">. Kihasználni a </w:t>
            </w:r>
            <w:r w:rsidRPr="006306B5">
              <w:rPr>
                <w:shd w:val="clear" w:color="auto" w:fill="FFFFFF"/>
              </w:rPr>
              <w:t>digitális 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>önyvtárat  </w:t>
            </w:r>
            <w:r>
              <w:rPr>
                <w:color w:val="000000"/>
                <w:shd w:val="clear" w:color="auto" w:fill="FFFFFF"/>
              </w:rPr>
              <w:t>az álta</w:t>
            </w:r>
            <w:r>
              <w:rPr>
                <w:color w:val="000000"/>
                <w:shd w:val="clear" w:color="auto" w:fill="FFFFFF"/>
              </w:rPr>
              <w:t>lános iskola természettudományi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és </w:t>
            </w:r>
            <w:r>
              <w:rPr>
                <w:color w:val="000000"/>
                <w:shd w:val="clear" w:color="auto" w:fill="FFFFFF"/>
              </w:rPr>
              <w:t>társadalom</w:t>
            </w: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lastRenderedPageBreak/>
              <w:t>tudományi tantárgyai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color w:val="000000"/>
                <w:shd w:val="clear" w:color="auto" w:fill="FFFFFF"/>
              </w:rPr>
              <w:t>valamint a  matematika tantárgy oktatásában és megállapítani annak hatását a fogalmi megértés fejlődésére, a tanul</w:t>
            </w:r>
            <w:r w:rsidRPr="006306B5">
              <w:rPr>
                <w:shd w:val="clear" w:color="auto" w:fill="FFFFFF"/>
              </w:rPr>
              <w:t>ó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>
              <w:rPr>
                <w:color w:val="000000"/>
                <w:shd w:val="clear" w:color="auto" w:fill="FFFFFF"/>
              </w:rPr>
              <w:t> önreflexiós kompetenciáinak formáló</w:t>
            </w:r>
            <w:r>
              <w:rPr>
                <w:color w:val="000000"/>
                <w:shd w:val="clear" w:color="auto" w:fill="FFFFFF"/>
              </w:rPr>
              <w:t>-dására. További cél</w:t>
            </w:r>
            <w:r>
              <w:rPr>
                <w:color w:val="000000"/>
                <w:shd w:val="clear" w:color="auto" w:fill="FFFFFF"/>
              </w:rPr>
              <w:t xml:space="preserve"> a </w:t>
            </w:r>
            <w:r w:rsidRPr="006306B5">
              <w:rPr>
                <w:shd w:val="clear" w:color="auto" w:fill="FFFFFF"/>
              </w:rPr>
              <w:t>digitális 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 xml:space="preserve">önyvtár </w:t>
            </w:r>
            <w:r>
              <w:rPr>
                <w:color w:val="000000"/>
                <w:shd w:val="clear" w:color="auto" w:fill="FFFFFF"/>
              </w:rPr>
              <w:t>hatásainak feltárása a pedagógusok, szülő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és tan</w:t>
            </w:r>
            <w:r w:rsidRPr="006306B5">
              <w:rPr>
                <w:shd w:val="clear" w:color="auto" w:fill="FFFFFF"/>
              </w:rPr>
              <w:t>uló</w:t>
            </w:r>
            <w:r w:rsidRPr="006306B5">
              <w:rPr>
                <w:rStyle w:val="object"/>
                <w:shd w:val="clear" w:color="auto" w:fill="FFFFFF"/>
              </w:rPr>
              <w:t>k</w:t>
            </w:r>
            <w:r w:rsidRPr="006306B5">
              <w:rPr>
                <w:shd w:val="clear" w:color="auto" w:fill="FFFFFF"/>
              </w:rPr>
              <w:t>  </w:t>
            </w:r>
            <w:r>
              <w:rPr>
                <w:color w:val="000000"/>
                <w:shd w:val="clear" w:color="auto" w:fill="FFFFFF"/>
              </w:rPr>
              <w:t>véleményére és attitűdjére  a formatív értékeléssel kapcsolatosan.</w:t>
            </w:r>
          </w:p>
        </w:tc>
      </w:tr>
      <w:tr w:rsidR="00527224" w:rsidRPr="00131BBE" w14:paraId="78805D85" w14:textId="77777777" w:rsidTr="00DB77D5">
        <w:tc>
          <w:tcPr>
            <w:tcW w:w="2180" w:type="dxa"/>
          </w:tcPr>
          <w:p w14:paraId="33FF90D9" w14:textId="77777777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1B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KNM 23-120-02095</w:t>
            </w:r>
          </w:p>
          <w:p w14:paraId="6E64A800" w14:textId="77777777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DF9AB" w14:textId="519417FD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1BBE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C028FE">
              <w:rPr>
                <w:rFonts w:ascii="Times New Roman" w:hAnsi="Times New Roman" w:cs="Times New Roman"/>
                <w:sz w:val="22"/>
                <w:szCs w:val="22"/>
              </w:rPr>
              <w:t xml:space="preserve">A SJE Cantus Iuventus női kara </w:t>
            </w:r>
            <w:r w:rsidRPr="00131BBE">
              <w:rPr>
                <w:rFonts w:ascii="Times New Roman" w:hAnsi="Times New Roman" w:cs="Times New Roman"/>
                <w:sz w:val="22"/>
                <w:szCs w:val="22"/>
              </w:rPr>
              <w:t xml:space="preserve">magalakulásának 10. évfordulója“ </w:t>
            </w:r>
          </w:p>
          <w:p w14:paraId="2FAFDDBA" w14:textId="77777777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A02CA" w14:textId="3A48358E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B5DB3" w14:textId="2386A96B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E3E6C" w14:textId="234D72D4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3AEE54" w14:textId="08D60767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6A9B3" w14:textId="4D09031B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8FCCC" w14:textId="5296FDB8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04CFF" w14:textId="0BE67B40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30AF6" w14:textId="09984880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214C4" w14:textId="60837ADE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D846B" w14:textId="349DDAAF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B2EF0" w14:textId="41A46BFA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93D8A" w14:textId="60768994" w:rsidR="00527224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7D232" w14:textId="76479736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80E4A9" w14:textId="72D0EC8D" w:rsidR="00527224" w:rsidRPr="00131BBE" w:rsidRDefault="00527224" w:rsidP="00527224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9A72C" w14:textId="524919BE" w:rsidR="00527224" w:rsidRPr="00131BBE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</w:tcPr>
          <w:p w14:paraId="3D7F07C5" w14:textId="77777777" w:rsidR="00527224" w:rsidRPr="00131BBE" w:rsidRDefault="00527224" w:rsidP="0052722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Mgr. Orsovics Yvette, PhD.</w:t>
            </w:r>
          </w:p>
        </w:tc>
        <w:tc>
          <w:tcPr>
            <w:tcW w:w="1417" w:type="dxa"/>
          </w:tcPr>
          <w:p w14:paraId="4D59E0AA" w14:textId="229A7B86" w:rsidR="00527224" w:rsidRPr="00131BBE" w:rsidRDefault="00527224" w:rsidP="00DB77D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31BB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 xml:space="preserve">2023 </w:t>
            </w:r>
          </w:p>
        </w:tc>
        <w:tc>
          <w:tcPr>
            <w:tcW w:w="4874" w:type="dxa"/>
          </w:tcPr>
          <w:p w14:paraId="7B5834D5" w14:textId="77777777" w:rsidR="00527224" w:rsidRDefault="00527224" w:rsidP="005272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B635A" w14:textId="77777777" w:rsidR="00527224" w:rsidRDefault="00527224" w:rsidP="005272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0CBA45" w14:textId="43B951AB" w:rsidR="00527224" w:rsidRPr="00131BBE" w:rsidRDefault="00527224" w:rsidP="005272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131BBE">
              <w:rPr>
                <w:rFonts w:ascii="Times New Roman" w:hAnsi="Times New Roman" w:cs="Times New Roman"/>
                <w:sz w:val="22"/>
                <w:szCs w:val="22"/>
              </w:rPr>
              <w:t xml:space="preserve"> projekt fő célja a Komáromi Selye János Egyetem Cantus Iuventus akadémiai kórusa megalakulásának 10. évfordulója alkalmából megrendezett jubileumi hangverseny, ahol a kórus bemutatja tízéves munkájának eredményeit. Felcsendülnek a magyar és nemzetközi kórusirodalom válogatott, értékes művei, feldolgozásai. A projekt elsődleges célja, hogy a hallgatók és a leendő pedagógusok megismerjék a kórusmuzsika valódi értékeit. A gálakoncert vendégszereplői lesznek a komáromi Concordia vegyeskar és a Schola Mariana kicsinyek kórusa. A hangverseny keretén belül megtekinthető lesz egy kiállítás, melyen a Cantus Iuventus kórus 10 éves tevékenységét és munkásságát tekintheti meg a nagyérdemű. A projekt másik kimenete a Cantus Iuventus kórus tízéves munkáját dokumentáló kiadvány lesz. A brosúrán kívül a kórus tevékenységének dokumentációját bővíti még az ünnepi hangversenyről készült hangfelvétel/DVD is. </w:t>
            </w:r>
          </w:p>
          <w:p w14:paraId="575F27A2" w14:textId="3FFD591E" w:rsidR="00527224" w:rsidRPr="00131BBE" w:rsidRDefault="00527224" w:rsidP="00DB77D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27224" w:rsidRPr="00131BBE" w14:paraId="445EA17E" w14:textId="77777777" w:rsidTr="00DB77D5">
        <w:tc>
          <w:tcPr>
            <w:tcW w:w="2180" w:type="dxa"/>
          </w:tcPr>
          <w:p w14:paraId="19D329DD" w14:textId="045A4F07" w:rsidR="00527224" w:rsidRPr="00131BBE" w:rsidRDefault="00977122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KNM</w:t>
            </w:r>
            <w:r w:rsidR="00527224" w:rsidRPr="00131BB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527224" w:rsidRPr="0097712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hyperlink r:id="rId7" w:history="1">
              <w:r w:rsidR="00527224" w:rsidRPr="00977122">
                <w:rPr>
                  <w:rStyle w:val="Hypertextovprepojeni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23-110-01152</w:t>
              </w:r>
            </w:hyperlink>
          </w:p>
          <w:p w14:paraId="4F700963" w14:textId="77777777" w:rsidR="00527224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0EAAFD10" w14:textId="314551C5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131BBE"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Kerámia mozaik - Sok kicsi sokra megy </w:t>
            </w:r>
          </w:p>
          <w:p w14:paraId="50BAFE3E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30B8698A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2DB5A4E2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2C832C19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3F3F8530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02E54E92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3203D922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58ADB9A1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1BB742E3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608DB96F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5C0EAC5A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39F6CFC3" w14:textId="77777777" w:rsidR="00527224" w:rsidRPr="00131BBE" w:rsidRDefault="00527224" w:rsidP="00527224">
            <w:pPr>
              <w:widowControl/>
              <w:suppressAutoHyphens w:val="0"/>
              <w:rPr>
                <w:rStyle w:val="object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6F90B831" w14:textId="77777777" w:rsidR="00527224" w:rsidRPr="00131BBE" w:rsidRDefault="00527224" w:rsidP="00DB77D5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8F58950" w14:textId="77777777" w:rsidR="00527224" w:rsidRPr="00131BBE" w:rsidRDefault="00527224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 w:rsidRPr="00131BBE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Nagyová Csilla ArtD.</w:t>
            </w:r>
          </w:p>
          <w:p w14:paraId="7EA1A796" w14:textId="77777777" w:rsidR="00527224" w:rsidRPr="00131BBE" w:rsidRDefault="00527224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1DF719D4" w14:textId="3A7F3A5E" w:rsidR="00527224" w:rsidRPr="00131BBE" w:rsidRDefault="00527224" w:rsidP="00527224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A68E64" w14:textId="63C9412B" w:rsidR="00527224" w:rsidRPr="00131BBE" w:rsidRDefault="007412A3" w:rsidP="00DB77D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4874" w:type="dxa"/>
          </w:tcPr>
          <w:p w14:paraId="1A15E723" w14:textId="77777777" w:rsidR="00527224" w:rsidRPr="00131BBE" w:rsidRDefault="00527224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5F851557" w14:textId="77777777" w:rsidR="00527224" w:rsidRDefault="00527224" w:rsidP="00527224">
            <w:pPr>
              <w:pStyle w:val="Normlnywebov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BF47EF2" w14:textId="182506DD" w:rsidR="00527224" w:rsidRPr="00131BBE" w:rsidRDefault="00527224" w:rsidP="00527224">
            <w:pPr>
              <w:pStyle w:val="Normlnywebov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31BBE">
              <w:rPr>
                <w:sz w:val="22"/>
                <w:szCs w:val="22"/>
              </w:rPr>
              <w:t>A J. Selye Egyetemen tartott 14 napos workshop eredménye egy 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ülönböző méretű sí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 kerámialapokból 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észült mozaik lesz, amelyet a hallgató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 egyénileg, saját elképzeléseik szerint díszítenek majd. A kerámialapok mozaik formájában alkotnak majd egy egészet az UJS épületének falán. A workshop célja, hogy az Óvó- és Tanítóképző Tanszé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 hallgatói szabadidejüket tartalmasan tölthessé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 el, miközben szert tesznek új ismeretekre, 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épzőművészeti technikákra. A kreatív műhelyek jótékonyan hatnak az interperszonális kapcsolatok elmélyítésére, az együtt töltött idő során pedig a diákok megtapasztalhatjá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 a </w:t>
            </w:r>
            <w:r w:rsidRPr="00131BBE">
              <w:rPr>
                <w:rStyle w:val="object"/>
                <w:sz w:val="22"/>
                <w:szCs w:val="22"/>
              </w:rPr>
              <w:t>k</w:t>
            </w:r>
            <w:r w:rsidRPr="00131BBE">
              <w:rPr>
                <w:sz w:val="22"/>
                <w:szCs w:val="22"/>
              </w:rPr>
              <w:t>özös munka örömét, amelyet nyilvánosan is bemutatnak.</w:t>
            </w:r>
          </w:p>
          <w:p w14:paraId="2FB16AE5" w14:textId="77777777" w:rsidR="00527224" w:rsidRPr="00131BBE" w:rsidRDefault="00527224" w:rsidP="00DB77D5">
            <w:pPr>
              <w:pStyle w:val="Normlnywebov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27224" w:rsidRPr="00131BBE" w14:paraId="34462FB6" w14:textId="77777777" w:rsidTr="00DB77D5">
        <w:tc>
          <w:tcPr>
            <w:tcW w:w="2180" w:type="dxa"/>
          </w:tcPr>
          <w:p w14:paraId="27D21C5D" w14:textId="4DCD6C96" w:rsidR="00527224" w:rsidRDefault="00977122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KNM </w:t>
            </w:r>
            <w:r w:rsidR="00EA1720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23-230-01270</w:t>
            </w:r>
          </w:p>
          <w:p w14:paraId="403E25F7" w14:textId="77777777" w:rsidR="00DB77D5" w:rsidRDefault="00DB77D5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40141AE6" w14:textId="0CAC1213" w:rsidR="0025455F" w:rsidRPr="007412A3" w:rsidRDefault="0025455F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 w:rsidRPr="007412A3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lastRenderedPageBreak/>
              <w:t>Zene az inklúzió jegyében</w:t>
            </w:r>
          </w:p>
          <w:p w14:paraId="6E4230E8" w14:textId="77777777" w:rsidR="00FE3915" w:rsidRPr="007412A3" w:rsidRDefault="0025455F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 w:rsidRPr="007412A3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Alternatív zenepedagógiai és zeneterápiás irányzatok a komplex fejlesztés és befogadó nevelés jegyében</w:t>
            </w:r>
          </w:p>
          <w:p w14:paraId="4ED46F01" w14:textId="7B575BF6" w:rsidR="0025455F" w:rsidRPr="007412A3" w:rsidRDefault="0025455F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  <w:p w14:paraId="61013C01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36D4D8C0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CEDEA7E" w14:textId="33E157C3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66F09D31" w14:textId="37CB5A56" w:rsidR="00977122" w:rsidRDefault="00977122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0F55608C" w14:textId="5965A364" w:rsidR="00977122" w:rsidRDefault="00977122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2B3A0693" w14:textId="6C1B07AC" w:rsidR="00977122" w:rsidRDefault="00977122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64023C41" w14:textId="77777777" w:rsidR="00977122" w:rsidRDefault="00977122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04067C35" w14:textId="44CE83AC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419E3334" w14:textId="6D1F23EF" w:rsidR="00977122" w:rsidRDefault="00977122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D73B07F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0A088B1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3D93E210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5487F54D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1C688515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CA926B8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1A865A97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5F35B04B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39E46D94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1621A754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06A1BDEE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4BF9E122" w14:textId="77777777" w:rsidR="007412A3" w:rsidRDefault="007412A3" w:rsidP="0025455F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D66317E" w14:textId="46B35CCB" w:rsidR="0025455F" w:rsidRPr="00131BBE" w:rsidRDefault="0025455F" w:rsidP="00DB77D5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54859CFE" w14:textId="5173E2F6" w:rsidR="00527224" w:rsidRPr="007412A3" w:rsidRDefault="00527224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 w:rsidRPr="007412A3">
              <w:lastRenderedPageBreak/>
              <w:t>Mgr. Tóth-Bakos Anita, PhD.</w:t>
            </w:r>
          </w:p>
        </w:tc>
        <w:tc>
          <w:tcPr>
            <w:tcW w:w="1417" w:type="dxa"/>
          </w:tcPr>
          <w:p w14:paraId="24E49D9B" w14:textId="76F3A03E" w:rsidR="00527224" w:rsidRPr="007412A3" w:rsidRDefault="0025455F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  <w:r w:rsidRPr="007412A3"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4874" w:type="dxa"/>
          </w:tcPr>
          <w:p w14:paraId="1FCF174E" w14:textId="77777777" w:rsidR="007412A3" w:rsidRPr="007412A3" w:rsidRDefault="007412A3" w:rsidP="0052722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08F03B6B" w14:textId="77777777" w:rsidR="007412A3" w:rsidRPr="007412A3" w:rsidRDefault="007412A3" w:rsidP="00527224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</w:p>
          <w:p w14:paraId="6B3FC1A1" w14:textId="77777777" w:rsidR="00977122" w:rsidRDefault="00977122" w:rsidP="00977122">
            <w:pPr>
              <w:widowControl/>
              <w:suppressAutoHyphens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71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 projekt a zenei nevelés, mint az integráció és a befogadó (inkluzív) oktatási folyamat lehetséges eszközeinek kutatására összpontosít, valamint a zene és a zenei tevékenységek által nyújtott átfogó személyiségfejlesztés lehetőségeinek kihasználására. A vizsgálat tárgyát elsősorban szakmai megközelítések és tudományos kutatási eredmények képezik a zene és a zenei tevékenységek kognitív képességek fejlődésére és a komplex személyiség fejlődésére gyakorolt hatásának területén. A projekt célja a zenepedagógia és a zeneterápia alternatív irányainak bemutatása, amelyek a nevelési folyamatban az inklúzió jegyében alkalmazhatók. A fő cél a már létező alternatív módszerek feltérképezése és feltárása, hangsúlyt fektetve azok didaktikai hátterére. Ezt követően konkrét alternatív zeneoktatási megközelítések és technikák javaslata, amelyek mind a zeneoktatás minden résztvevője, mind a sajátos nevelési igényű tanulók és hallgatók számára alkalmazhatóak. A projekt, illetve a projekt kimenete a monográfia, hozzájárulás a 21. századi oktatási tevékenységek kihívásaira való reflektáláshoz a zeneoktatás területén. Szélesebb perspektívát nyújt a zenei nevelésben rejlő lehetőségeknek és alkalmazható technikáknak, amelyek a nevelési és képzési célok mellett megfelelnek az inkluzív szemlélet, a prevenció és a komplex személyiségfejlesztés kritériumainak egyaránt.</w:t>
            </w:r>
          </w:p>
          <w:p w14:paraId="717F1B46" w14:textId="48B61763" w:rsidR="00977122" w:rsidRPr="007412A3" w:rsidRDefault="00977122" w:rsidP="00527224">
            <w:pPr>
              <w:widowControl/>
              <w:suppressAutoHyphens w:val="0"/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406B19" w14:textId="37B53906" w:rsidR="00A75351" w:rsidRDefault="00A75351" w:rsidP="00CE79B4">
      <w:pPr>
        <w:widowControl/>
        <w:suppressAutoHyphens w:val="0"/>
      </w:pPr>
    </w:p>
    <w:p w14:paraId="3E595EC4" w14:textId="059558E7" w:rsidR="00DF0291" w:rsidRDefault="00DF0291" w:rsidP="00CE79B4">
      <w:pPr>
        <w:widowControl/>
        <w:suppressAutoHyphens w:val="0"/>
      </w:pPr>
    </w:p>
    <w:sectPr w:rsidR="00DF0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28A9C" w14:textId="77777777" w:rsidR="00DC239C" w:rsidRDefault="00DC239C" w:rsidP="00B66720">
      <w:r>
        <w:separator/>
      </w:r>
    </w:p>
  </w:endnote>
  <w:endnote w:type="continuationSeparator" w:id="0">
    <w:p w14:paraId="5CCECB7D" w14:textId="77777777" w:rsidR="00DC239C" w:rsidRDefault="00DC239C" w:rsidP="00B6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Lohit Devanagari">
    <w:altName w:val="Times New Roman"/>
    <w:charset w:val="01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61EBD" w14:textId="77777777" w:rsidR="00DC239C" w:rsidRDefault="00DC239C" w:rsidP="00B66720">
      <w:r>
        <w:separator/>
      </w:r>
    </w:p>
  </w:footnote>
  <w:footnote w:type="continuationSeparator" w:id="0">
    <w:p w14:paraId="28E5E87E" w14:textId="77777777" w:rsidR="00DC239C" w:rsidRDefault="00DC239C" w:rsidP="00B6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23"/>
    <w:rsid w:val="00097652"/>
    <w:rsid w:val="00131BBE"/>
    <w:rsid w:val="0016298F"/>
    <w:rsid w:val="001A055B"/>
    <w:rsid w:val="001B3C48"/>
    <w:rsid w:val="0025455F"/>
    <w:rsid w:val="002703D5"/>
    <w:rsid w:val="002E3455"/>
    <w:rsid w:val="0032217E"/>
    <w:rsid w:val="003A267E"/>
    <w:rsid w:val="003A6C46"/>
    <w:rsid w:val="003E19A2"/>
    <w:rsid w:val="004340A2"/>
    <w:rsid w:val="00440516"/>
    <w:rsid w:val="00464370"/>
    <w:rsid w:val="005050A3"/>
    <w:rsid w:val="00527224"/>
    <w:rsid w:val="00527E2B"/>
    <w:rsid w:val="005D2B17"/>
    <w:rsid w:val="005E7B23"/>
    <w:rsid w:val="005F5BC0"/>
    <w:rsid w:val="006119AA"/>
    <w:rsid w:val="006306B5"/>
    <w:rsid w:val="006C5D03"/>
    <w:rsid w:val="006D05CF"/>
    <w:rsid w:val="00724A0B"/>
    <w:rsid w:val="007412A3"/>
    <w:rsid w:val="00784E04"/>
    <w:rsid w:val="00876399"/>
    <w:rsid w:val="0090630E"/>
    <w:rsid w:val="00962D79"/>
    <w:rsid w:val="00977122"/>
    <w:rsid w:val="009946A0"/>
    <w:rsid w:val="00A45A4E"/>
    <w:rsid w:val="00A47E0B"/>
    <w:rsid w:val="00A5049C"/>
    <w:rsid w:val="00A65B85"/>
    <w:rsid w:val="00A75351"/>
    <w:rsid w:val="00B4146E"/>
    <w:rsid w:val="00B66720"/>
    <w:rsid w:val="00BD58EB"/>
    <w:rsid w:val="00C028FE"/>
    <w:rsid w:val="00C26F1F"/>
    <w:rsid w:val="00C801EE"/>
    <w:rsid w:val="00CB3726"/>
    <w:rsid w:val="00CD7A73"/>
    <w:rsid w:val="00CE79B4"/>
    <w:rsid w:val="00DB77D5"/>
    <w:rsid w:val="00DC239C"/>
    <w:rsid w:val="00DF0291"/>
    <w:rsid w:val="00E729E8"/>
    <w:rsid w:val="00E91C71"/>
    <w:rsid w:val="00EA1720"/>
    <w:rsid w:val="00EB7918"/>
    <w:rsid w:val="00EE01A9"/>
    <w:rsid w:val="00F3113C"/>
    <w:rsid w:val="00F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8576"/>
  <w15:docId w15:val="{D574AA03-8B2C-40CF-8855-60991B0B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5BC0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link w:val="Nadpis1Char"/>
    <w:qFormat/>
    <w:rsid w:val="005F5B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Nadpis2">
    <w:name w:val="heading 2"/>
    <w:basedOn w:val="Normlny"/>
    <w:next w:val="Zkladntext"/>
    <w:link w:val="Nadpis2Char"/>
    <w:qFormat/>
    <w:rsid w:val="005F5BC0"/>
    <w:pPr>
      <w:keepNext/>
      <w:spacing w:before="200" w:after="120"/>
      <w:outlineLvl w:val="1"/>
    </w:pPr>
    <w:rPr>
      <w:rFonts w:eastAsia="WenQuanYi Micro Hei" w:cs="Lohit Devanagari"/>
      <w:b/>
      <w:bCs/>
      <w:sz w:val="28"/>
      <w:szCs w:val="36"/>
    </w:rPr>
  </w:style>
  <w:style w:type="paragraph" w:styleId="Nadpis3">
    <w:name w:val="heading 3"/>
    <w:basedOn w:val="Normlny"/>
    <w:next w:val="Zkladntext"/>
    <w:link w:val="Nadpis3Char"/>
    <w:qFormat/>
    <w:rsid w:val="005F5BC0"/>
    <w:pPr>
      <w:keepNext/>
      <w:spacing w:before="140" w:after="120"/>
      <w:outlineLvl w:val="2"/>
    </w:pPr>
    <w:rPr>
      <w:rFonts w:eastAsia="WenQuanYi Micro Hei" w:cs="Lohit Devanagari"/>
      <w:b/>
      <w:bCs/>
      <w:sz w:val="28"/>
      <w:szCs w:val="28"/>
    </w:rPr>
  </w:style>
  <w:style w:type="paragraph" w:styleId="Nadpis4">
    <w:name w:val="heading 4"/>
    <w:basedOn w:val="Normlny"/>
    <w:next w:val="Zkladntext"/>
    <w:link w:val="Nadpis4Char"/>
    <w:qFormat/>
    <w:rsid w:val="005F5BC0"/>
    <w:pPr>
      <w:keepNext/>
      <w:spacing w:before="120" w:after="120"/>
      <w:outlineLvl w:val="3"/>
    </w:pPr>
    <w:rPr>
      <w:rFonts w:eastAsia="WenQuanYi Micro Hei" w:cs="Lohit Devanaga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F5BC0"/>
    <w:rPr>
      <w:rFonts w:ascii="Cambria" w:hAnsi="Cambria"/>
      <w:b/>
      <w:bCs/>
      <w:kern w:val="1"/>
      <w:sz w:val="32"/>
      <w:szCs w:val="32"/>
      <w:lang w:val="sk-SK" w:eastAsia="zh-CN" w:bidi="hi-IN"/>
    </w:rPr>
  </w:style>
  <w:style w:type="character" w:customStyle="1" w:styleId="Nadpis2Char">
    <w:name w:val="Nadpis 2 Char"/>
    <w:basedOn w:val="Predvolenpsmoodseku"/>
    <w:link w:val="Nadpis2"/>
    <w:rsid w:val="005F5BC0"/>
    <w:rPr>
      <w:rFonts w:ascii="Liberation Serif" w:eastAsia="WenQuanYi Micro Hei" w:hAnsi="Liberation Serif" w:cs="Lohit Devanagari"/>
      <w:b/>
      <w:bCs/>
      <w:kern w:val="1"/>
      <w:sz w:val="28"/>
      <w:szCs w:val="36"/>
      <w:lang w:val="sk-SK"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F5BC0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5BC0"/>
    <w:rPr>
      <w:rFonts w:ascii="Liberation Serif" w:eastAsia="SimSun" w:hAnsi="Liberation Serif" w:cs="Mangal"/>
      <w:kern w:val="1"/>
      <w:sz w:val="24"/>
      <w:szCs w:val="21"/>
      <w:lang w:val="sk-SK" w:eastAsia="zh-CN" w:bidi="hi-IN"/>
    </w:rPr>
  </w:style>
  <w:style w:type="character" w:customStyle="1" w:styleId="Nadpis3Char">
    <w:name w:val="Nadpis 3 Char"/>
    <w:basedOn w:val="Predvolenpsmoodseku"/>
    <w:link w:val="Nadpis3"/>
    <w:rsid w:val="005F5BC0"/>
    <w:rPr>
      <w:rFonts w:ascii="Liberation Serif" w:eastAsia="WenQuanYi Micro Hei" w:hAnsi="Liberation Serif" w:cs="Lohit Devanagari"/>
      <w:b/>
      <w:bCs/>
      <w:kern w:val="1"/>
      <w:sz w:val="28"/>
      <w:szCs w:val="28"/>
      <w:lang w:val="sk-SK" w:eastAsia="zh-CN" w:bidi="hi-IN"/>
    </w:rPr>
  </w:style>
  <w:style w:type="character" w:customStyle="1" w:styleId="Nadpis4Char">
    <w:name w:val="Nadpis 4 Char"/>
    <w:basedOn w:val="Predvolenpsmoodseku"/>
    <w:link w:val="Nadpis4"/>
    <w:rsid w:val="005F5BC0"/>
    <w:rPr>
      <w:rFonts w:ascii="Liberation Serif" w:eastAsia="WenQuanYi Micro Hei" w:hAnsi="Liberation Serif" w:cs="Lohit Devanagari"/>
      <w:b/>
      <w:bCs/>
      <w:kern w:val="1"/>
      <w:sz w:val="24"/>
      <w:szCs w:val="24"/>
      <w:lang w:val="sk-SK" w:eastAsia="zh-CN" w:bidi="hi-IN"/>
    </w:rPr>
  </w:style>
  <w:style w:type="paragraph" w:styleId="Popis">
    <w:name w:val="caption"/>
    <w:basedOn w:val="Normlny"/>
    <w:qFormat/>
    <w:rsid w:val="005F5BC0"/>
    <w:pPr>
      <w:suppressLineNumbers/>
      <w:spacing w:before="120" w:after="120"/>
    </w:pPr>
    <w:rPr>
      <w:i/>
      <w:iCs/>
    </w:rPr>
  </w:style>
  <w:style w:type="character" w:styleId="Siln">
    <w:name w:val="Strong"/>
    <w:qFormat/>
    <w:rsid w:val="005F5BC0"/>
    <w:rPr>
      <w:b/>
      <w:bCs/>
    </w:rPr>
  </w:style>
  <w:style w:type="character" w:styleId="Zvraznenie">
    <w:name w:val="Emphasis"/>
    <w:qFormat/>
    <w:rsid w:val="005F5BC0"/>
    <w:rPr>
      <w:i/>
      <w:iCs/>
    </w:rPr>
  </w:style>
  <w:style w:type="character" w:customStyle="1" w:styleId="markedcontent">
    <w:name w:val="markedcontent"/>
    <w:basedOn w:val="Predvolenpsmoodseku"/>
    <w:rsid w:val="003E19A2"/>
  </w:style>
  <w:style w:type="table" w:styleId="Mriekatabuky">
    <w:name w:val="Table Grid"/>
    <w:basedOn w:val="Normlnatabuka"/>
    <w:uiPriority w:val="59"/>
    <w:rsid w:val="0027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ta">
    <w:name w:val="footer"/>
    <w:basedOn w:val="Normlny"/>
    <w:link w:val="PtaChar"/>
    <w:uiPriority w:val="99"/>
    <w:unhideWhenUsed/>
    <w:rsid w:val="00B66720"/>
    <w:pPr>
      <w:tabs>
        <w:tab w:val="center" w:pos="4680"/>
        <w:tab w:val="right" w:pos="9360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B66720"/>
    <w:rPr>
      <w:rFonts w:ascii="Liberation Serif" w:eastAsia="SimSun" w:hAnsi="Liberation Serif" w:cs="Mangal"/>
      <w:kern w:val="1"/>
      <w:sz w:val="24"/>
      <w:szCs w:val="21"/>
      <w:lang w:val="hu-HU" w:eastAsia="zh-CN" w:bidi="hi-I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E7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u-HU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E79B4"/>
    <w:rPr>
      <w:rFonts w:ascii="Courier New" w:eastAsia="Times New Roman" w:hAnsi="Courier New" w:cs="Courier New"/>
      <w:lang w:val="hu-HU" w:eastAsia="hu-HU"/>
    </w:rPr>
  </w:style>
  <w:style w:type="character" w:customStyle="1" w:styleId="y2iqfc">
    <w:name w:val="y2iqfc"/>
    <w:basedOn w:val="Predvolenpsmoodseku"/>
    <w:rsid w:val="00CE79B4"/>
  </w:style>
  <w:style w:type="character" w:styleId="Odkaznakomentr">
    <w:name w:val="annotation reference"/>
    <w:basedOn w:val="Predvolenpsmoodseku"/>
    <w:uiPriority w:val="99"/>
    <w:semiHidden/>
    <w:unhideWhenUsed/>
    <w:rsid w:val="00784E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4E04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4E04"/>
    <w:rPr>
      <w:rFonts w:ascii="Liberation Serif" w:eastAsia="SimSun" w:hAnsi="Liberation Serif" w:cs="Mangal"/>
      <w:kern w:val="1"/>
      <w:szCs w:val="18"/>
      <w:lang w:val="hu-HU"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4E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4E04"/>
    <w:rPr>
      <w:rFonts w:ascii="Liberation Serif" w:eastAsia="SimSun" w:hAnsi="Liberation Serif" w:cs="Mangal"/>
      <w:b/>
      <w:bCs/>
      <w:kern w:val="1"/>
      <w:szCs w:val="18"/>
      <w:lang w:val="hu-HU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4E04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4E04"/>
    <w:rPr>
      <w:rFonts w:ascii="Segoe UI" w:eastAsia="SimSun" w:hAnsi="Segoe UI" w:cs="Mangal"/>
      <w:kern w:val="1"/>
      <w:sz w:val="18"/>
      <w:szCs w:val="16"/>
      <w:lang w:val="hu-HU" w:eastAsia="zh-CN" w:bidi="hi-IN"/>
    </w:rPr>
  </w:style>
  <w:style w:type="character" w:customStyle="1" w:styleId="object">
    <w:name w:val="object"/>
    <w:basedOn w:val="Predvolenpsmoodseku"/>
    <w:rsid w:val="002E3455"/>
  </w:style>
  <w:style w:type="character" w:styleId="Hypertextovprepojenie">
    <w:name w:val="Hyperlink"/>
    <w:basedOn w:val="Predvolenpsmoodseku"/>
    <w:uiPriority w:val="99"/>
    <w:semiHidden/>
    <w:unhideWhenUsed/>
    <w:rsid w:val="002E3455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6D05C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allto:23-110-01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Yvett Orsovics</cp:lastModifiedBy>
  <cp:revision>7</cp:revision>
  <dcterms:created xsi:type="dcterms:W3CDTF">2023-10-11T11:30:00Z</dcterms:created>
  <dcterms:modified xsi:type="dcterms:W3CDTF">2023-12-14T10:17:00Z</dcterms:modified>
</cp:coreProperties>
</file>